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Celebration of a Successful Year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How does what I am learning impact student learning?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rtl w:val="0"/>
        </w:rPr>
        <w:t xml:space="preserve">We will promote student and teacher learning by collaboratively—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Comic Sans MS" w:hAnsi="Comic Sans MS" w:eastAsia="Comic Sans MS" w:ascii="Comic Sans MS"/>
          <w:b w:val="1"/>
          <w:sz w:val="24"/>
          <w:highlight w:val="white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rtl w:val="0"/>
        </w:rPr>
        <w:t xml:space="preserve">Developing and using assessments/assessment strategies that challenge and inform all students and teachers.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Comic Sans MS" w:hAnsi="Comic Sans MS" w:eastAsia="Comic Sans MS" w:ascii="Comic Sans MS"/>
          <w:b w:val="1"/>
          <w:sz w:val="24"/>
          <w:highlight w:val="white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rtl w:val="0"/>
        </w:rPr>
        <w:t xml:space="preserve">Helping all students develop and use literacy/literacy strategies as tools for thinking in all subject areas.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Comic Sans MS" w:hAnsi="Comic Sans MS" w:eastAsia="Comic Sans MS" w:ascii="Comic Sans MS"/>
          <w:b w:val="1"/>
          <w:sz w:val="24"/>
          <w:highlight w:val="white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highlight w:val="white"/>
          <w:rtl w:val="0"/>
        </w:rPr>
        <w:t xml:space="preserve">Developing and implementing a department-specific goal related to curriculum, assessment, and/or instruction.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Please attend three of the six sessions below: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Collaborative Unit Design - Presented by Tom and Jen - Rm. B215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Modeling and Inquiry Instruction - Presented by Jay and Carrie - Rm. B110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Co-teaching - Presented by Todd and Nick - Rm. B117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21st Century Curriculum - Presented by Wally and Tracy - Rm. C119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Community Partnerships - Presented by Beau and Jake - Rm. C118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  <w:u w:val="none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Student Choice - Presented by Brad and Jodi - Rm. B203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As you listen, participate and reflect on your own teaching, please fill out the questions below.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12:45- 1:05pm Session: 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00"/>
        <w:gridCol w:w="3600"/>
        <w:gridCol w:w="36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How did this success contribute to our building goals?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What did you find affirming?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What did you find inspiring?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1:10 -1:30pm Session: ___________________________________________________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00"/>
        <w:gridCol w:w="3600"/>
        <w:gridCol w:w="36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How did this success contribute to our building goals?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What did you find affirming?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What did you find inspiring?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1:35 - 1:55pm Session: ___________________________________________________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00"/>
        <w:gridCol w:w="3600"/>
        <w:gridCol w:w="36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How did this success contribute to our building goals?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What did you find affirming?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Fonts w:cs="Comic Sans MS" w:hAnsi="Comic Sans MS" w:eastAsia="Comic Sans MS" w:ascii="Comic Sans MS"/>
                <w:sz w:val="24"/>
                <w:rtl w:val="0"/>
              </w:rPr>
              <w:t xml:space="preserve">What did you find inspiring?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Early Release.docx</dc:title>
</cp:coreProperties>
</file>